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35" w:rsidRPr="00A14C23" w:rsidRDefault="00D25FD9" w:rsidP="00641BA2">
      <w:pPr>
        <w:ind w:left="0"/>
        <w:jc w:val="both"/>
        <w:rPr>
          <w:rFonts w:ascii="Tahoma" w:hAnsi="Tahoma" w:cs="Tahoma"/>
          <w:b/>
          <w:sz w:val="22"/>
          <w:szCs w:val="22"/>
          <w:lang w:val="es-AR"/>
        </w:rPr>
      </w:pPr>
      <w:r w:rsidRPr="00D25FD9">
        <w:rPr>
          <w:rFonts w:ascii="Tahoma" w:hAnsi="Tahoma" w:cs="Tahoma"/>
          <w:b/>
          <w:noProof/>
          <w:sz w:val="22"/>
          <w:szCs w:val="22"/>
          <w:lang w:val="en-US" w:eastAsia="en-US"/>
        </w:rPr>
        <w:drawing>
          <wp:inline distT="0" distB="0" distL="0" distR="0">
            <wp:extent cx="2254250" cy="571500"/>
            <wp:effectExtent l="19050" t="0" r="0" b="0"/>
            <wp:docPr id="9" name="Imagen 3" descr="SG Min Eco"/>
            <wp:cNvGraphicFramePr/>
            <a:graphic xmlns:a="http://schemas.openxmlformats.org/drawingml/2006/main">
              <a:graphicData uri="http://schemas.openxmlformats.org/drawingml/2006/picture">
                <pic:pic xmlns:pic="http://schemas.openxmlformats.org/drawingml/2006/picture">
                  <pic:nvPicPr>
                    <pic:cNvPr id="1083" name="3 Imagen" descr="SG Min Eco"/>
                    <pic:cNvPicPr>
                      <a:picLocks noChangeAspect="1" noChangeArrowheads="1"/>
                    </pic:cNvPicPr>
                  </pic:nvPicPr>
                  <pic:blipFill>
                    <a:blip r:embed="rId6" cstate="print"/>
                    <a:srcRect/>
                    <a:stretch>
                      <a:fillRect/>
                    </a:stretch>
                  </pic:blipFill>
                  <pic:spPr bwMode="auto">
                    <a:xfrm>
                      <a:off x="0" y="0"/>
                      <a:ext cx="2254250" cy="571500"/>
                    </a:xfrm>
                    <a:prstGeom prst="rect">
                      <a:avLst/>
                    </a:prstGeom>
                    <a:noFill/>
                    <a:ln w="9525">
                      <a:noFill/>
                      <a:miter lim="800000"/>
                      <a:headEnd/>
                      <a:tailEnd/>
                    </a:ln>
                  </pic:spPr>
                </pic:pic>
              </a:graphicData>
            </a:graphic>
          </wp:inline>
        </w:drawing>
      </w:r>
      <w:r w:rsidR="005621ED">
        <w:rPr>
          <w:rFonts w:ascii="Tahoma" w:hAnsi="Tahoma" w:cs="Tahoma"/>
          <w:b/>
          <w:sz w:val="22"/>
          <w:szCs w:val="22"/>
          <w:lang w:val="es-AR"/>
        </w:rPr>
        <w:t xml:space="preserve">                                                          </w:t>
      </w:r>
      <w:r w:rsidR="00DE54E3">
        <w:rPr>
          <w:rFonts w:ascii="Tahoma" w:hAnsi="Tahoma" w:cs="Tahoma"/>
          <w:b/>
          <w:sz w:val="22"/>
          <w:szCs w:val="22"/>
          <w:lang w:val="es-AR"/>
        </w:rPr>
        <w:t xml:space="preserve"> </w:t>
      </w:r>
      <w:r w:rsidR="00E75F10">
        <w:rPr>
          <w:rFonts w:ascii="Tahoma" w:hAnsi="Tahoma" w:cs="Tahoma"/>
          <w:b/>
          <w:sz w:val="22"/>
          <w:szCs w:val="22"/>
          <w:lang w:val="es-AR"/>
        </w:rPr>
        <w:t xml:space="preserve">                                                                        </w:t>
      </w:r>
      <w:bookmarkStart w:id="0" w:name="_Hlk421721571"/>
      <w:r w:rsidR="004146E5" w:rsidRPr="004146E5">
        <w:rPr>
          <w:noProof/>
          <w:szCs w:val="22"/>
          <w:lang w:val="en-US" w:eastAsia="en-US"/>
        </w:rPr>
        <w:drawing>
          <wp:inline distT="0" distB="0" distL="0" distR="0">
            <wp:extent cx="892175" cy="581025"/>
            <wp:effectExtent l="19050" t="0" r="3175" b="0"/>
            <wp:docPr id="2" name="Imagen 1" descr="dir.png"/>
            <wp:cNvGraphicFramePr/>
            <a:graphic xmlns:a="http://schemas.openxmlformats.org/drawingml/2006/main">
              <a:graphicData uri="http://schemas.openxmlformats.org/drawingml/2006/picture">
                <pic:pic xmlns:pic="http://schemas.openxmlformats.org/drawingml/2006/picture">
                  <pic:nvPicPr>
                    <pic:cNvPr id="1070" name="4 Imagen" descr="dir.png"/>
                    <pic:cNvPicPr>
                      <a:picLocks noChangeAspect="1"/>
                    </pic:cNvPicPr>
                  </pic:nvPicPr>
                  <pic:blipFill>
                    <a:blip r:embed="rId7" cstate="print"/>
                    <a:srcRect/>
                    <a:stretch>
                      <a:fillRect/>
                    </a:stretch>
                  </pic:blipFill>
                  <pic:spPr bwMode="auto">
                    <a:xfrm>
                      <a:off x="0" y="0"/>
                      <a:ext cx="892175" cy="581025"/>
                    </a:xfrm>
                    <a:prstGeom prst="rect">
                      <a:avLst/>
                    </a:prstGeom>
                    <a:noFill/>
                    <a:ln w="9525">
                      <a:noFill/>
                      <a:miter lim="800000"/>
                      <a:headEnd/>
                      <a:tailEnd/>
                    </a:ln>
                  </pic:spPr>
                </pic:pic>
              </a:graphicData>
            </a:graphic>
          </wp:inline>
        </w:drawing>
      </w:r>
      <w:bookmarkEnd w:id="0"/>
    </w:p>
    <w:p w:rsidR="00641BA2" w:rsidRDefault="00641BA2" w:rsidP="00641BA2">
      <w:pPr>
        <w:ind w:left="0"/>
        <w:jc w:val="both"/>
        <w:rPr>
          <w:rFonts w:ascii="Tahoma" w:hAnsi="Tahoma" w:cs="Tahoma"/>
          <w:b/>
          <w:sz w:val="22"/>
          <w:szCs w:val="22"/>
          <w:lang w:val="es-AR"/>
        </w:rPr>
      </w:pPr>
      <w:r>
        <w:rPr>
          <w:rFonts w:ascii="Tahoma" w:hAnsi="Tahoma" w:cs="Tahoma"/>
          <w:noProof/>
          <w:sz w:val="22"/>
          <w:szCs w:val="22"/>
          <w:lang w:val="en-US" w:eastAsia="en-US"/>
        </w:rPr>
        <w:t xml:space="preserve">           </w:t>
      </w:r>
    </w:p>
    <w:p w:rsidR="00641BA2" w:rsidRPr="00E75F10" w:rsidRDefault="00641BA2" w:rsidP="00641BA2">
      <w:pPr>
        <w:ind w:left="0"/>
        <w:jc w:val="both"/>
        <w:rPr>
          <w:rFonts w:ascii="Eras Demi ITC" w:hAnsi="Eras Demi ITC" w:cs="Tahoma"/>
          <w:b/>
          <w:sz w:val="22"/>
          <w:szCs w:val="22"/>
          <w:lang w:val="es-AR"/>
        </w:rPr>
      </w:pPr>
      <w:r w:rsidRPr="00E75F10">
        <w:rPr>
          <w:rFonts w:ascii="Eras Demi ITC" w:hAnsi="Eras Demi ITC" w:cs="Tahoma"/>
          <w:b/>
          <w:sz w:val="22"/>
          <w:szCs w:val="22"/>
          <w:lang w:val="es-AR"/>
        </w:rPr>
        <w:t xml:space="preserve">Conceptos básicos                                                                                                                                         </w:t>
      </w:r>
    </w:p>
    <w:p w:rsidR="000D6935" w:rsidRPr="00E75F10" w:rsidRDefault="00641BA2" w:rsidP="000D6935">
      <w:pPr>
        <w:ind w:left="0"/>
        <w:jc w:val="both"/>
        <w:rPr>
          <w:rFonts w:ascii="Eras Demi ITC" w:hAnsi="Eras Demi ITC" w:cs="Tahoma"/>
          <w:sz w:val="22"/>
          <w:szCs w:val="22"/>
          <w:lang w:val="es-AR"/>
        </w:rPr>
      </w:pPr>
      <w:r w:rsidRPr="004146E5">
        <w:rPr>
          <w:rFonts w:ascii="Eras Demi ITC" w:hAnsi="Eras Demi ITC" w:cs="Tahoma"/>
          <w:noProof/>
          <w:sz w:val="22"/>
          <w:szCs w:val="22"/>
          <w:lang w:eastAsia="en-US"/>
        </w:rPr>
        <w:t xml:space="preserve">                                                                                                                                                                                                                                                                                                      </w:t>
      </w:r>
    </w:p>
    <w:p w:rsidR="000D6935" w:rsidRPr="00E75F10" w:rsidRDefault="000D6935" w:rsidP="000D6935">
      <w:pPr>
        <w:ind w:left="0"/>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b/>
          <w:sz w:val="22"/>
          <w:szCs w:val="22"/>
          <w:lang w:val="es-AR"/>
        </w:rPr>
        <w:t>Construcciones Nuevas y a Empadronar</w:t>
      </w:r>
      <w:r w:rsidR="009F0605" w:rsidRPr="00E75F10">
        <w:rPr>
          <w:rFonts w:ascii="Eras Demi ITC" w:hAnsi="Eras Demi ITC" w:cs="Tahoma"/>
          <w:sz w:val="22"/>
          <w:szCs w:val="22"/>
          <w:lang w:val="es-AR"/>
        </w:rPr>
        <w:t>: se consigna</w:t>
      </w:r>
      <w:r w:rsidRPr="00E75F10">
        <w:rPr>
          <w:rFonts w:ascii="Eras Demi ITC" w:hAnsi="Eras Demi ITC" w:cs="Tahoma"/>
          <w:sz w:val="22"/>
          <w:szCs w:val="22"/>
          <w:lang w:val="es-AR"/>
        </w:rPr>
        <w:t xml:space="preserve"> la información correspondiente a los permisos que se otorguen para toda construcción nueva, es decir el levantamiento independiente de una estructura completamente nueva, ya sea que el sitio sobre el cual se construye  haya estado o no previamente ocupado, y la que se refiera al trámite realizado para legalizar municipalmente una construcción ya realizada.</w:t>
      </w:r>
    </w:p>
    <w:p w:rsidR="000D6935" w:rsidRPr="00E75F10" w:rsidRDefault="000D6935" w:rsidP="000D6935">
      <w:pPr>
        <w:ind w:left="0"/>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b/>
          <w:sz w:val="22"/>
          <w:szCs w:val="22"/>
          <w:lang w:val="es-AR"/>
        </w:rPr>
        <w:t>Ampliaciones Nuevas y a Empadronar</w:t>
      </w:r>
      <w:r w:rsidRPr="00E75F10">
        <w:rPr>
          <w:rFonts w:ascii="Eras Demi ITC" w:hAnsi="Eras Demi ITC" w:cs="Tahoma"/>
          <w:sz w:val="22"/>
          <w:szCs w:val="22"/>
          <w:lang w:val="es-AR"/>
        </w:rPr>
        <w:t>: se consignará lo referido a los permisos que se otorguen para agregar espacio cubierto a una estructura ya existente y lo referido al trámite realizado para legalizar municipalmente una ampliación ya realizada.</w:t>
      </w:r>
    </w:p>
    <w:p w:rsidR="000D6935" w:rsidRPr="00E75F10" w:rsidRDefault="000D6935" w:rsidP="000D6935">
      <w:pPr>
        <w:ind w:left="0"/>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b/>
          <w:sz w:val="22"/>
          <w:szCs w:val="22"/>
          <w:lang w:val="es-AR"/>
        </w:rPr>
        <w:t xml:space="preserve">Destino de </w:t>
      </w:r>
      <w:smartTag w:uri="urn:schemas-microsoft-com:office:smarttags" w:element="PersonName">
        <w:smartTagPr>
          <w:attr w:name="ProductID" w:val="la Obra"/>
        </w:smartTagPr>
        <w:r w:rsidRPr="00E75F10">
          <w:rPr>
            <w:rFonts w:ascii="Eras Demi ITC" w:hAnsi="Eras Demi ITC" w:cs="Tahoma"/>
            <w:b/>
            <w:sz w:val="22"/>
            <w:szCs w:val="22"/>
            <w:lang w:val="es-AR"/>
          </w:rPr>
          <w:t>la Obra</w:t>
        </w:r>
      </w:smartTag>
      <w:r w:rsidRPr="00E75F10">
        <w:rPr>
          <w:rFonts w:ascii="Eras Demi ITC" w:hAnsi="Eras Demi ITC" w:cs="Tahoma"/>
          <w:sz w:val="22"/>
          <w:szCs w:val="22"/>
          <w:lang w:val="es-AR"/>
        </w:rPr>
        <w:t>: Se deberá tomar el destino declarado por el profesional actuante en el plano de obra presentado, independientemente de que luego de aprobado éste, el propietario le dé al edificio un uso distinto al declarado. El mismo deberá encuadrarse dentro de alguna de las siguientes definiciones:</w:t>
      </w:r>
    </w:p>
    <w:p w:rsidR="000D6935" w:rsidRPr="00E75F10" w:rsidRDefault="000D6935" w:rsidP="000D6935">
      <w:pPr>
        <w:ind w:left="0"/>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01- </w:t>
      </w:r>
      <w:r w:rsidRPr="00E75F10">
        <w:rPr>
          <w:rFonts w:ascii="Eras Demi ITC" w:hAnsi="Eras Demi ITC" w:cs="Tahoma"/>
          <w:b/>
          <w:bCs/>
          <w:sz w:val="22"/>
          <w:szCs w:val="22"/>
          <w:lang w:val="es-AR"/>
        </w:rPr>
        <w:t>Univivienda sin locales</w:t>
      </w:r>
      <w:r w:rsidRPr="00E75F10">
        <w:rPr>
          <w:rFonts w:ascii="Eras Demi ITC" w:hAnsi="Eras Demi ITC" w:cs="Tahoma"/>
          <w:sz w:val="22"/>
          <w:szCs w:val="22"/>
          <w:lang w:val="es-AR"/>
        </w:rPr>
        <w:t>: Es todo edificio residencial que comprende una sola vivienda y no incluye locales destinados a fines no residenciales en el mismo.</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02- </w:t>
      </w:r>
      <w:r w:rsidRPr="00E75F10">
        <w:rPr>
          <w:rFonts w:ascii="Eras Demi ITC" w:hAnsi="Eras Demi ITC" w:cs="Tahoma"/>
          <w:b/>
          <w:bCs/>
          <w:sz w:val="22"/>
          <w:szCs w:val="22"/>
          <w:lang w:val="es-AR"/>
        </w:rPr>
        <w:t>Univivienda con locales</w:t>
      </w:r>
      <w:r w:rsidRPr="00E75F10">
        <w:rPr>
          <w:rFonts w:ascii="Eras Demi ITC" w:hAnsi="Eras Demi ITC" w:cs="Tahoma"/>
          <w:sz w:val="22"/>
          <w:szCs w:val="22"/>
          <w:lang w:val="es-AR"/>
        </w:rPr>
        <w:t>: Es todo edificio residencial que comprende una sola vivienda y, además, uno o más locales de uso no residencial.</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03- </w:t>
      </w:r>
      <w:r w:rsidRPr="00E75F10">
        <w:rPr>
          <w:rFonts w:ascii="Eras Demi ITC" w:hAnsi="Eras Demi ITC" w:cs="Tahoma"/>
          <w:b/>
          <w:bCs/>
          <w:sz w:val="22"/>
          <w:szCs w:val="22"/>
          <w:lang w:val="es-AR"/>
        </w:rPr>
        <w:t>Multivivienda sin locales</w:t>
      </w:r>
      <w:r w:rsidRPr="00E75F10">
        <w:rPr>
          <w:rFonts w:ascii="Eras Demi ITC" w:hAnsi="Eras Demi ITC" w:cs="Tahoma"/>
          <w:sz w:val="22"/>
          <w:szCs w:val="22"/>
          <w:lang w:val="es-AR"/>
        </w:rPr>
        <w:t>: Es todo edificio residencial que comprende dos o más viviendas y no incluye locales destinados a fines no residenciales en el mismo.</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04- </w:t>
      </w:r>
      <w:r w:rsidRPr="00E75F10">
        <w:rPr>
          <w:rFonts w:ascii="Eras Demi ITC" w:hAnsi="Eras Demi ITC" w:cs="Tahoma"/>
          <w:b/>
          <w:bCs/>
          <w:sz w:val="22"/>
          <w:szCs w:val="22"/>
          <w:lang w:val="es-AR"/>
        </w:rPr>
        <w:t>Multivivienda con locales</w:t>
      </w:r>
      <w:r w:rsidRPr="00E75F10">
        <w:rPr>
          <w:rFonts w:ascii="Eras Demi ITC" w:hAnsi="Eras Demi ITC" w:cs="Tahoma"/>
          <w:sz w:val="22"/>
          <w:szCs w:val="22"/>
          <w:lang w:val="es-AR"/>
        </w:rPr>
        <w:t>: Es todo edificio residencial que comprende dos o más viviendas y, además, uno o más locales de uso no residencial.</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05- </w:t>
      </w:r>
      <w:r w:rsidRPr="00E75F10">
        <w:rPr>
          <w:rFonts w:ascii="Eras Demi ITC" w:hAnsi="Eras Demi ITC" w:cs="Tahoma"/>
          <w:b/>
          <w:bCs/>
          <w:sz w:val="22"/>
          <w:szCs w:val="22"/>
          <w:lang w:val="es-AR"/>
        </w:rPr>
        <w:t>Industria</w:t>
      </w:r>
      <w:r w:rsidRPr="00E75F10">
        <w:rPr>
          <w:rFonts w:ascii="Eras Demi ITC" w:hAnsi="Eras Demi ITC" w:cs="Tahoma"/>
          <w:sz w:val="22"/>
          <w:szCs w:val="22"/>
          <w:lang w:val="es-AR"/>
        </w:rPr>
        <w:t>: Comprende todos los edificios destinados a las actividades de fabricación, armado y depósito de los establecimientos industriales de alta o baja complejidad.</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06- </w:t>
      </w:r>
      <w:r w:rsidRPr="00E75F10">
        <w:rPr>
          <w:rFonts w:ascii="Eras Demi ITC" w:hAnsi="Eras Demi ITC" w:cs="Tahoma"/>
          <w:b/>
          <w:bCs/>
          <w:sz w:val="22"/>
          <w:szCs w:val="22"/>
          <w:lang w:val="es-AR"/>
        </w:rPr>
        <w:t>Almacenaje y Galpones sin Destino</w:t>
      </w:r>
      <w:r w:rsidRPr="00E75F10">
        <w:rPr>
          <w:rFonts w:ascii="Eras Demi ITC" w:hAnsi="Eras Demi ITC" w:cs="Tahoma"/>
          <w:sz w:val="22"/>
          <w:szCs w:val="22"/>
          <w:lang w:val="es-AR"/>
        </w:rPr>
        <w:t>: Comprende todos aquellos edificios que se destinan a depósito de mercaderías, tinglados y galpones que se levantan sin tener un fin determinado. Incluir Galpones de empaque y Cámaras Frigoríficas</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lastRenderedPageBreak/>
        <w:t xml:space="preserve">07- </w:t>
      </w:r>
      <w:r w:rsidRPr="00E75F10">
        <w:rPr>
          <w:rFonts w:ascii="Eras Demi ITC" w:hAnsi="Eras Demi ITC" w:cs="Tahoma"/>
          <w:b/>
          <w:bCs/>
          <w:sz w:val="22"/>
          <w:szCs w:val="22"/>
          <w:lang w:val="es-AR"/>
        </w:rPr>
        <w:t>Administración, Banca y Finanzas</w:t>
      </w:r>
      <w:r w:rsidRPr="00E75F10">
        <w:rPr>
          <w:rFonts w:ascii="Eras Demi ITC" w:hAnsi="Eras Demi ITC" w:cs="Tahoma"/>
          <w:sz w:val="22"/>
          <w:szCs w:val="22"/>
          <w:lang w:val="es-AR"/>
        </w:rPr>
        <w:t>: Comprende todos aquellos edificios que se destinan para uso en actividades administrativas por parte de las empresas y otras instituciones privadas, tal es el caso de las oficinas, bancos, compañías financieras y de seguros, etc.</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08- </w:t>
      </w:r>
      <w:r w:rsidRPr="00E75F10">
        <w:rPr>
          <w:rFonts w:ascii="Eras Demi ITC" w:hAnsi="Eras Demi ITC" w:cs="Tahoma"/>
          <w:b/>
          <w:bCs/>
          <w:sz w:val="22"/>
          <w:szCs w:val="22"/>
          <w:lang w:val="es-AR"/>
        </w:rPr>
        <w:t>Comercio</w:t>
      </w:r>
      <w:r w:rsidRPr="00E75F10">
        <w:rPr>
          <w:rFonts w:ascii="Eras Demi ITC" w:hAnsi="Eras Demi ITC" w:cs="Tahoma"/>
          <w:sz w:val="22"/>
          <w:szCs w:val="22"/>
          <w:lang w:val="es-AR"/>
        </w:rPr>
        <w:t>: Comprende todos aquellos edificios que se destinan para su uso en las actividades de comercio, tanto al por mayor como al por menor, tal es el caso de almacenes, tiendas, galerías comerciales, paseos de compras, mercados minoristas y/o mayoristas, supermercados, estaciones de servicio, etc.</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09</w:t>
      </w:r>
      <w:r w:rsidRPr="00E75F10">
        <w:rPr>
          <w:rFonts w:ascii="Eras Demi ITC" w:hAnsi="Eras Demi ITC" w:cs="Tahoma"/>
          <w:b/>
          <w:bCs/>
          <w:sz w:val="22"/>
          <w:szCs w:val="22"/>
          <w:lang w:val="es-AR"/>
        </w:rPr>
        <w:t>- Educación</w:t>
      </w:r>
      <w:r w:rsidRPr="00E75F10">
        <w:rPr>
          <w:rFonts w:ascii="Eras Demi ITC" w:hAnsi="Eras Demi ITC" w:cs="Tahoma"/>
          <w:sz w:val="22"/>
          <w:szCs w:val="22"/>
          <w:lang w:val="es-AR"/>
        </w:rPr>
        <w:t>: Comprende todos aquellos edificios que se destinan para uso en las actividades de instrucción, que proporcionen cursos de enseñanza académica y/o técnica, tales como escuelas, colegios, universidades, institutos, academias, guarderías de niños, etc.</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pStyle w:val="Sangra2detindependiente"/>
        <w:rPr>
          <w:rFonts w:ascii="Eras Demi ITC" w:hAnsi="Eras Demi ITC"/>
          <w:sz w:val="22"/>
          <w:szCs w:val="22"/>
        </w:rPr>
      </w:pPr>
      <w:r w:rsidRPr="00E75F10">
        <w:rPr>
          <w:rFonts w:ascii="Eras Demi ITC" w:hAnsi="Eras Demi ITC"/>
          <w:sz w:val="22"/>
          <w:szCs w:val="22"/>
        </w:rPr>
        <w:t xml:space="preserve">10- </w:t>
      </w:r>
      <w:r w:rsidRPr="00E75F10">
        <w:rPr>
          <w:rFonts w:ascii="Eras Demi ITC" w:hAnsi="Eras Demi ITC"/>
          <w:b/>
          <w:bCs/>
          <w:sz w:val="22"/>
          <w:szCs w:val="22"/>
        </w:rPr>
        <w:t>Salud</w:t>
      </w:r>
      <w:r w:rsidRPr="00E75F10">
        <w:rPr>
          <w:rFonts w:ascii="Eras Demi ITC" w:hAnsi="Eras Demi ITC"/>
          <w:sz w:val="22"/>
          <w:szCs w:val="22"/>
        </w:rPr>
        <w:t>: Comprende todos aquellos edificios que se destinen a proveer cuidados de la salud, tales como hospitales, sanatorios, clínicas, consultorios, salas de primeros auxilios, dispensarios, enfermerías, etc.</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11- </w:t>
      </w:r>
      <w:r w:rsidRPr="00E75F10">
        <w:rPr>
          <w:rFonts w:ascii="Eras Demi ITC" w:hAnsi="Eras Demi ITC" w:cs="Tahoma"/>
          <w:b/>
          <w:bCs/>
          <w:sz w:val="22"/>
          <w:szCs w:val="22"/>
          <w:lang w:val="es-AR"/>
        </w:rPr>
        <w:t>Transporte</w:t>
      </w:r>
      <w:r w:rsidRPr="00E75F10">
        <w:rPr>
          <w:rFonts w:ascii="Eras Demi ITC" w:hAnsi="Eras Demi ITC" w:cs="Tahoma"/>
          <w:sz w:val="22"/>
          <w:szCs w:val="22"/>
          <w:lang w:val="es-AR"/>
        </w:rPr>
        <w:t>: Comprende todos aquellos edificios destinados al embarque de pasajeros y mercaderías y a la guarda de vehículos, tales como puertos, estaciones de ómnibus, aeródromos e instalaciones conexas.</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12- </w:t>
      </w:r>
      <w:r w:rsidRPr="00E75F10">
        <w:rPr>
          <w:rFonts w:ascii="Eras Demi ITC" w:hAnsi="Eras Demi ITC" w:cs="Tahoma"/>
          <w:b/>
          <w:bCs/>
          <w:sz w:val="22"/>
          <w:szCs w:val="22"/>
          <w:lang w:val="es-AR"/>
        </w:rPr>
        <w:t>Hotelería y alojamiento</w:t>
      </w:r>
      <w:r w:rsidRPr="00E75F10">
        <w:rPr>
          <w:rFonts w:ascii="Eras Demi ITC" w:hAnsi="Eras Demi ITC" w:cs="Tahoma"/>
          <w:sz w:val="22"/>
          <w:szCs w:val="22"/>
          <w:lang w:val="es-AR"/>
        </w:rPr>
        <w:t>: Comprende todos aquellos edificios destinados al alojamiento de huéspedes o pensionistas en los que se sigue un régimen especial caracterizado por el pago  diario, semanal, quincenal o mensual del importe del alojamiento incluidos los moteles y alojamientos por hora, geriátricos o asilos de ancianos, orfanatos, etc.</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13- </w:t>
      </w:r>
      <w:r w:rsidRPr="00E75F10">
        <w:rPr>
          <w:rFonts w:ascii="Eras Demi ITC" w:hAnsi="Eras Demi ITC" w:cs="Tahoma"/>
          <w:b/>
          <w:bCs/>
          <w:sz w:val="22"/>
          <w:szCs w:val="22"/>
          <w:lang w:val="es-AR"/>
        </w:rPr>
        <w:t>Cultura y Espectáculos</w:t>
      </w:r>
      <w:r w:rsidRPr="00E75F10">
        <w:rPr>
          <w:rFonts w:ascii="Eras Demi ITC" w:hAnsi="Eras Demi ITC" w:cs="Tahoma"/>
          <w:sz w:val="22"/>
          <w:szCs w:val="22"/>
          <w:lang w:val="es-AR"/>
        </w:rPr>
        <w:t>: Comprende todos aquellos edificios destinados a actividades culturales y artísticas tales como museos, bibliotecas, cines, teatros, auditorios, etc.</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14- </w:t>
      </w:r>
      <w:r w:rsidRPr="00E75F10">
        <w:rPr>
          <w:rFonts w:ascii="Eras Demi ITC" w:hAnsi="Eras Demi ITC" w:cs="Tahoma"/>
          <w:b/>
          <w:bCs/>
          <w:sz w:val="22"/>
          <w:szCs w:val="22"/>
          <w:lang w:val="es-AR"/>
        </w:rPr>
        <w:t>Recreación y Deportes</w:t>
      </w:r>
      <w:r w:rsidRPr="00E75F10">
        <w:rPr>
          <w:rFonts w:ascii="Eras Demi ITC" w:hAnsi="Eras Demi ITC" w:cs="Tahoma"/>
          <w:sz w:val="22"/>
          <w:szCs w:val="22"/>
          <w:lang w:val="es-AR"/>
        </w:rPr>
        <w:t>: Comprende todos aquellos edificios destinados a actividades tales como clubes, estadios, gimnasios, canchas de tenis cubiertas, casinos, etc.</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15- </w:t>
      </w:r>
      <w:r w:rsidRPr="00E75F10">
        <w:rPr>
          <w:rFonts w:ascii="Eras Demi ITC" w:hAnsi="Eras Demi ITC" w:cs="Tahoma"/>
          <w:b/>
          <w:bCs/>
          <w:sz w:val="22"/>
          <w:szCs w:val="22"/>
          <w:lang w:val="es-AR"/>
        </w:rPr>
        <w:t>Arquitectura funeraria</w:t>
      </w:r>
      <w:r w:rsidRPr="00E75F10">
        <w:rPr>
          <w:rFonts w:ascii="Eras Demi ITC" w:hAnsi="Eras Demi ITC" w:cs="Tahoma"/>
          <w:sz w:val="22"/>
          <w:szCs w:val="22"/>
          <w:lang w:val="es-AR"/>
        </w:rPr>
        <w:t>: Comprende todos aquellos edificios que se destinan a sepulturas y depósitos de cadáveres, tales como panteones, mausoleos, bóvedas, nichos, etc.</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16- </w:t>
      </w:r>
      <w:r w:rsidRPr="00E75F10">
        <w:rPr>
          <w:rFonts w:ascii="Eras Demi ITC" w:hAnsi="Eras Demi ITC" w:cs="Tahoma"/>
          <w:b/>
          <w:bCs/>
          <w:sz w:val="22"/>
          <w:szCs w:val="22"/>
          <w:lang w:val="es-AR"/>
        </w:rPr>
        <w:t>Gastronomía</w:t>
      </w:r>
      <w:r w:rsidRPr="00E75F10">
        <w:rPr>
          <w:rFonts w:ascii="Eras Demi ITC" w:hAnsi="Eras Demi ITC" w:cs="Tahoma"/>
          <w:sz w:val="22"/>
          <w:szCs w:val="22"/>
          <w:lang w:val="es-AR"/>
        </w:rPr>
        <w:t>: Comprende a los locales destinados a la venta al por menor de alimentos y bebidas para consumo inmediato e "in situ", tal es el caso de restaurantes, parrillas, casas de comidas, bares, confiterías, cafeterías, pizzerías, etc.</w:t>
      </w:r>
    </w:p>
    <w:p w:rsidR="000D6935" w:rsidRPr="00E75F10" w:rsidRDefault="000D6935" w:rsidP="000D6935">
      <w:pPr>
        <w:ind w:left="0" w:firstLine="708"/>
        <w:jc w:val="both"/>
        <w:rPr>
          <w:rFonts w:ascii="Eras Demi ITC" w:hAnsi="Eras Demi ITC" w:cs="Tahoma"/>
          <w:sz w:val="22"/>
          <w:szCs w:val="22"/>
          <w:lang w:val="es-AR"/>
        </w:rPr>
      </w:pPr>
    </w:p>
    <w:p w:rsidR="000D6935" w:rsidRPr="00E75F10" w:rsidRDefault="000D6935" w:rsidP="000D6935">
      <w:pPr>
        <w:ind w:left="0" w:firstLine="708"/>
        <w:jc w:val="both"/>
        <w:rPr>
          <w:rFonts w:ascii="Eras Demi ITC" w:hAnsi="Eras Demi ITC" w:cs="Tahoma"/>
          <w:sz w:val="22"/>
          <w:szCs w:val="22"/>
          <w:lang w:val="es-AR"/>
        </w:rPr>
      </w:pPr>
      <w:r w:rsidRPr="00E75F10">
        <w:rPr>
          <w:rFonts w:ascii="Eras Demi ITC" w:hAnsi="Eras Demi ITC" w:cs="Tahoma"/>
          <w:sz w:val="22"/>
          <w:szCs w:val="22"/>
          <w:lang w:val="es-AR"/>
        </w:rPr>
        <w:t xml:space="preserve">17- </w:t>
      </w:r>
      <w:r w:rsidRPr="00E75F10">
        <w:rPr>
          <w:rFonts w:ascii="Eras Demi ITC" w:hAnsi="Eras Demi ITC" w:cs="Tahoma"/>
          <w:b/>
          <w:bCs/>
          <w:sz w:val="22"/>
          <w:szCs w:val="22"/>
          <w:lang w:val="es-AR"/>
        </w:rPr>
        <w:t>Otros destinos</w:t>
      </w:r>
      <w:r w:rsidRPr="00E75F10">
        <w:rPr>
          <w:rFonts w:ascii="Eras Demi ITC" w:hAnsi="Eras Demi ITC" w:cs="Tahoma"/>
          <w:sz w:val="22"/>
          <w:szCs w:val="22"/>
          <w:lang w:val="es-AR"/>
        </w:rPr>
        <w:t>: Comprende todos aquellos edificios destinados a actividades no incluidas en las definiciones anteriores, tales como cuarteles de bomberos voluntarios, capillas, iglesias, etc.</w:t>
      </w:r>
    </w:p>
    <w:p w:rsidR="000D6935" w:rsidRPr="00E75F10" w:rsidRDefault="000D6935" w:rsidP="000D6935">
      <w:pPr>
        <w:ind w:left="0"/>
        <w:jc w:val="both"/>
        <w:rPr>
          <w:rFonts w:ascii="Eras Demi ITC" w:hAnsi="Eras Demi ITC" w:cs="Tahoma"/>
          <w:sz w:val="22"/>
          <w:szCs w:val="22"/>
          <w:lang w:val="es-AR"/>
        </w:rPr>
      </w:pPr>
    </w:p>
    <w:p w:rsidR="000D6935" w:rsidRPr="00E75F10" w:rsidRDefault="000D6935" w:rsidP="008938B6">
      <w:pPr>
        <w:ind w:left="0"/>
        <w:jc w:val="both"/>
        <w:rPr>
          <w:rFonts w:ascii="Eras Demi ITC" w:hAnsi="Eras Demi ITC"/>
          <w:sz w:val="22"/>
          <w:szCs w:val="22"/>
          <w:lang w:val="es-AR"/>
        </w:rPr>
      </w:pPr>
      <w:r w:rsidRPr="00E75F10">
        <w:rPr>
          <w:rFonts w:ascii="Eras Demi ITC" w:hAnsi="Eras Demi ITC" w:cs="Tahoma"/>
          <w:b/>
          <w:sz w:val="22"/>
          <w:szCs w:val="22"/>
          <w:lang w:val="es-AR"/>
        </w:rPr>
        <w:t>ACLARACION</w:t>
      </w:r>
      <w:r w:rsidRPr="00E75F10">
        <w:rPr>
          <w:rFonts w:ascii="Eras Demi ITC" w:hAnsi="Eras Demi ITC" w:cs="Tahoma"/>
          <w:sz w:val="22"/>
          <w:szCs w:val="22"/>
          <w:lang w:val="es-AR"/>
        </w:rPr>
        <w:t xml:space="preserve">: </w:t>
      </w:r>
      <w:r w:rsidRPr="00E75F10">
        <w:rPr>
          <w:rFonts w:ascii="Eras Demi ITC" w:hAnsi="Eras Demi ITC" w:cs="Tahoma"/>
          <w:b/>
          <w:sz w:val="22"/>
          <w:szCs w:val="22"/>
          <w:lang w:val="es-AR"/>
        </w:rPr>
        <w:t>en todos los casos se deberá tener en cuenta que lo que determina el destino de la obra en su conjunto es el destino que se le asigna a la mayor parte de la misma, es decir, el que se le dé a más de la mitad de su superficie cubierta.</w:t>
      </w:r>
    </w:p>
    <w:sectPr w:rsidR="000D6935" w:rsidRPr="00E75F10" w:rsidSect="00E75F10">
      <w:pgSz w:w="16838" w:h="11906" w:orient="landscape"/>
      <w:pgMar w:top="851"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647" w:rsidRDefault="00EB7647">
      <w:r>
        <w:separator/>
      </w:r>
    </w:p>
  </w:endnote>
  <w:endnote w:type="continuationSeparator" w:id="1">
    <w:p w:rsidR="00EB7647" w:rsidRDefault="00EB76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647" w:rsidRDefault="00EB7647">
      <w:r>
        <w:separator/>
      </w:r>
    </w:p>
  </w:footnote>
  <w:footnote w:type="continuationSeparator" w:id="1">
    <w:p w:rsidR="00EB7647" w:rsidRDefault="00EB76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0D6935"/>
    <w:rsid w:val="000D6935"/>
    <w:rsid w:val="00104375"/>
    <w:rsid w:val="00156026"/>
    <w:rsid w:val="00296287"/>
    <w:rsid w:val="004146E5"/>
    <w:rsid w:val="004F1093"/>
    <w:rsid w:val="004F4853"/>
    <w:rsid w:val="005621ED"/>
    <w:rsid w:val="00595263"/>
    <w:rsid w:val="005E2EE4"/>
    <w:rsid w:val="00641BA2"/>
    <w:rsid w:val="00815FA0"/>
    <w:rsid w:val="008938B6"/>
    <w:rsid w:val="009F0605"/>
    <w:rsid w:val="00A018A8"/>
    <w:rsid w:val="00A14C23"/>
    <w:rsid w:val="00A32BD4"/>
    <w:rsid w:val="00A72973"/>
    <w:rsid w:val="00B51278"/>
    <w:rsid w:val="00C632E9"/>
    <w:rsid w:val="00D25FD9"/>
    <w:rsid w:val="00DE54E3"/>
    <w:rsid w:val="00DF072E"/>
    <w:rsid w:val="00E75F10"/>
    <w:rsid w:val="00EB76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6935"/>
    <w:pPr>
      <w:ind w:left="1080"/>
    </w:pPr>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0D6935"/>
    <w:pPr>
      <w:ind w:left="0" w:firstLine="708"/>
      <w:jc w:val="both"/>
    </w:pPr>
    <w:rPr>
      <w:rFonts w:ascii="Tahoma" w:hAnsi="Tahoma" w:cs="Tahoma"/>
      <w:sz w:val="24"/>
      <w:lang w:val="es-AR"/>
    </w:rPr>
  </w:style>
  <w:style w:type="paragraph" w:styleId="Encabezado">
    <w:name w:val="header"/>
    <w:basedOn w:val="Normal"/>
    <w:rsid w:val="00DE54E3"/>
    <w:pPr>
      <w:tabs>
        <w:tab w:val="center" w:pos="4252"/>
        <w:tab w:val="right" w:pos="8504"/>
      </w:tabs>
    </w:pPr>
  </w:style>
  <w:style w:type="paragraph" w:styleId="Piedepgina">
    <w:name w:val="footer"/>
    <w:basedOn w:val="Normal"/>
    <w:rsid w:val="00DE54E3"/>
    <w:pPr>
      <w:tabs>
        <w:tab w:val="center" w:pos="4252"/>
        <w:tab w:val="right" w:pos="8504"/>
      </w:tabs>
    </w:pPr>
  </w:style>
  <w:style w:type="paragraph" w:styleId="Textodeglobo">
    <w:name w:val="Balloon Text"/>
    <w:basedOn w:val="Normal"/>
    <w:link w:val="TextodegloboCar"/>
    <w:rsid w:val="004146E5"/>
    <w:rPr>
      <w:rFonts w:ascii="Tahoma" w:hAnsi="Tahoma" w:cs="Tahoma"/>
      <w:sz w:val="16"/>
      <w:szCs w:val="16"/>
    </w:rPr>
  </w:style>
  <w:style w:type="character" w:customStyle="1" w:styleId="TextodegloboCar">
    <w:name w:val="Texto de globo Car"/>
    <w:basedOn w:val="Fuentedeprrafopredeter"/>
    <w:link w:val="Textodeglobo"/>
    <w:rsid w:val="004146E5"/>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Conceptos básicos</vt:lpstr>
    </vt:vector>
  </TitlesOfParts>
  <Company>DGEyC</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Conceptos básicos</dc:title>
  <dc:subject/>
  <dc:creator>Luis</dc:creator>
  <cp:keywords/>
  <dc:description/>
  <cp:lastModifiedBy>Luis Verteramo</cp:lastModifiedBy>
  <cp:revision>2</cp:revision>
  <dcterms:created xsi:type="dcterms:W3CDTF">2017-11-17T13:47:00Z</dcterms:created>
  <dcterms:modified xsi:type="dcterms:W3CDTF">2017-11-17T13:47:00Z</dcterms:modified>
</cp:coreProperties>
</file>